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桂林山水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一、引导学生进入图文描绘的桂林山水的美景之中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出示挂图或放映课件图像，同时播放课文朗读录音，或教师进行范读，对图文进行整体感知，然后让学生谈感受。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二、导入（学习第一自然段）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导语：那么，课文是怎样评价桂林山水的？找出来读一读。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“甲天下”是什么意思？（天下第一）桂林山水天下第一，那将是多么美的景象啊，让我们和作者一起荡舟漓江，去观赏名甲天下的桂林山水吧。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自读全文，学习字词。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读准字音，找出新词，对不懂的词句，可以联系上下文理解或者请教同学、老师。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三、观赏漓江的水（学习第二自然段）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导语：我们先来欣赏漓江的水。观察图画或观看课件中的漓江水，用自己的话来描述。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1、作者是怎样描写的？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齐读（根据课堂读的实际情况，可以让学生个体再读，要求投入自己感情地读），找出概括漓江水的三个特点的词。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品读作者怎么写出漓江水与众不同的“静、清、绿”？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（特点之一“静”。课文用“让你感觉不到它在流动”，从感觉上突出了漓江水的“静”）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（特点之二“清”。课文用“可以看见江底的沙石”，从视觉上突出了漓江水的“清”）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特点之三“绿”。课文用“仿佛那是一块无暇的翡翠”这一形象的比喻，从色彩和品质上突出了漓江水的“绿”和“纯”。翡水平如镜的西湖？在读议中让学生体会，用对比的方法突出漓江水的三个特点和作者的赞美之情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2、指导学生有感情地朗读并感受。读出漓江水的静、清、绿，读出对漓江水的喜爱之情。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3、引导学生“发生这个句子有什么特点？这样写有什么好处？”（让学生谈对排比句的感性认识）注意通过范读指导读好“真静啊”“真清啊”“真绿啊”三个“啊”的变调。能背的可以看着画面当堂背诵。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四、巩固识字，练习书写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漓：注意右边的写法。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澜：前鼻音。右边“门”里面是“柬”。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瑕：可与“假”进行比较。注意右上是“]”。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翡：上下结构，下边是两个“”习，整个字要写紧凑。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峦：前鼻音，与“澜”比较读音。与“恋”比较字形。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筏：上下结构，右下不要丢撇。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第二课时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一、观赏桂林的山（学习第三自然段）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1、导语：那么桂林的山又是怎样的呢？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2、请同学们自己读一读，画一画，结合插图来欣赏。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bookmarkStart w:id="0" w:name="_GoBack"/>
      <w:bookmarkEnd w:id="0"/>
      <w:r>
        <w:rPr>
          <w:rFonts w:hint="eastAsia" w:ascii="宋体" w:hAnsi="宋体"/>
          <w:color w:val="000000"/>
          <w:sz w:val="24"/>
        </w:rPr>
        <w:t>3、互相交流：课文怎么写桂林山的特点的？（和第二自然段比较，也是用这样的段落句式）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在学生的回答中，教师随机展示课件，让学生进一步感受到：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特点之一“奇”。“桂林的山真奇啊，一座座拔地而起，各不相连……”，指导学生读出感受，理解词语，并展示泰山和香山的图像，以帮助学生理解“峰峦雄伟”“红叶似火”。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看资料的补充资料图片，让学生想象：像老人、像巨象、像骆驼。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模仿句式练习，说说像什么。比如：还有的像背着娃娃的妇女，有的像好斗的公鸡，有的像下山的猛虎，有的像含苞欲放的莲花，有的像捧书而立的书童，有的像敞胸露肚的罗汉……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特点之二“秀”。课文打了两个比方“像翠绿的屏障，像新生的竹笋”，通过图像，让学生感受到“秀”得郁郁葱葱，色彩明丽。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特点之三“险”。重点理解“危峰兀立，怪石嶙峋”，指导学生通过字面、结合语句领会。如“危峰兀立”，字面上指导“兀”的意思即“高耸突出”，然后让学生自己连起来解释，并放到句子中理解。这样，教给方法后，再让学生自己休会“怪石嶙峋”的意思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4、练习朗读，读出桂林山的奇、秀、险，读出对桂林山水的喜爱之情。重点指导读好“真奇啊”“真秀啊” “真险啊”。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二、山和水相遇的景象（学习第四自然段）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导语：我们观赏了漓江的水，观赏了桂林的山，再看看图片，当山和水相映衬时，又是怎样一番景象呢？作者又有什么感受？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1、指导有感情地朗读。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2、理解句子：“像是走进了连绵不断的画卷，真是</w:t>
      </w:r>
      <w:r>
        <w:rPr>
          <w:rFonts w:ascii="宋体" w:hAnsi="宋体"/>
          <w:color w:val="000000"/>
          <w:sz w:val="24"/>
        </w:rPr>
        <w:t>‘</w:t>
      </w:r>
      <w:r>
        <w:rPr>
          <w:rFonts w:hint="eastAsia" w:ascii="宋体" w:hAnsi="宋体"/>
          <w:color w:val="000000"/>
          <w:sz w:val="24"/>
        </w:rPr>
        <w:t>舟行碧波上，人在画中游</w:t>
      </w:r>
      <w:r>
        <w:rPr>
          <w:rFonts w:ascii="宋体" w:hAnsi="宋体"/>
          <w:color w:val="000000"/>
          <w:sz w:val="24"/>
        </w:rPr>
        <w:t>’</w:t>
      </w:r>
      <w:r>
        <w:rPr>
          <w:rFonts w:hint="eastAsia" w:ascii="宋体" w:hAnsi="宋体"/>
          <w:color w:val="000000"/>
          <w:sz w:val="24"/>
        </w:rPr>
        <w:t>”。</w:t>
      </w:r>
    </w:p>
    <w:p>
      <w:pPr>
        <w:ind w:left="114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（1）引导理解字面意思，“画卷”即绘画长卷，一般要卷起来收藏。“连绵不断”，接连不断。“连绵不断的画卷”，即很长很长的画卷。</w:t>
      </w:r>
    </w:p>
    <w:p>
      <w:pPr>
        <w:ind w:left="42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（2）观看图像片断，同时配音介绍：“从桂林到阳朔，航程83公里，沿途都是青山绿水，美不胜收，说桂林山水是一幅连绵不断的画卷，十分贴切。</w:t>
      </w:r>
      <w:r>
        <w:rPr>
          <w:rFonts w:ascii="宋体" w:hAnsi="宋体"/>
          <w:color w:val="000000"/>
          <w:sz w:val="24"/>
        </w:rPr>
        <w:t>‘</w:t>
      </w:r>
      <w:r>
        <w:rPr>
          <w:rFonts w:hint="eastAsia" w:ascii="宋体" w:hAnsi="宋体"/>
          <w:color w:val="000000"/>
          <w:sz w:val="24"/>
        </w:rPr>
        <w:t>舟行碧波上，人在画中游</w:t>
      </w:r>
      <w:r>
        <w:rPr>
          <w:rFonts w:ascii="宋体" w:hAnsi="宋体"/>
          <w:color w:val="000000"/>
          <w:sz w:val="24"/>
        </w:rPr>
        <w:t>’</w:t>
      </w:r>
      <w:r>
        <w:rPr>
          <w:rFonts w:hint="eastAsia" w:ascii="宋体" w:hAnsi="宋体"/>
          <w:color w:val="000000"/>
          <w:sz w:val="24"/>
        </w:rPr>
        <w:t>，道出了荡舟漓江，观赏桂林山水是一种美的享受，充满情趣，与开头的‘桂林山水甲天下’相呼应。”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3、引导边读边想象“这样的山围绕着这样的水，这样的水倒映着这样的山”是怎样的一种景象，休会“舟行碧波上，人在画中游”这种陶醉山水之间的感觉，然后说自己的体验。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三、指导背诵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用师生引读的方法练习背诵。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四、抄写句子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注意分号的用法。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抄写描写山、水特点的两个句子，要求以标点为标志，看半句抄半句，不可看一个字词写一个字词，格式要正确，字迹要工整。同时提示，每两个特点之间用分号来分隔，可以把各个特点分得很清楚。指导分号的书写。</w:t>
      </w: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left="420"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课后反思：本文以生动形象的笔触描绘了桂林山水的秀丽风光。读完全文，学生都能体会到祖国山河的壮丽。</w:t>
      </w:r>
    </w:p>
    <w:p>
      <w:pPr>
        <w:tabs>
          <w:tab w:val="left" w:pos="2460"/>
        </w:tabs>
        <w:rPr>
          <w:rFonts w:hint="eastAsia" w:ascii="宋体" w:hAnsi="宋体"/>
          <w:color w:val="000000"/>
          <w:sz w:val="24"/>
        </w:rPr>
      </w:pPr>
    </w:p>
    <w:p>
      <w:pPr>
        <w:tabs>
          <w:tab w:val="left" w:pos="2460"/>
        </w:tabs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99060</wp:posOffset>
                </wp:positionV>
                <wp:extent cx="152400" cy="914400"/>
                <wp:effectExtent l="4445" t="4445" r="14605" b="14605"/>
                <wp:wrapNone/>
                <wp:docPr id="1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914400"/>
                        </a:xfrm>
                        <a:prstGeom prst="leftBrace">
                          <a:avLst>
                            <a:gd name="adj1" fmla="val 50000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87" type="#_x0000_t87" style="position:absolute;left:0pt;margin-left:81pt;margin-top:7.8pt;height:72pt;width:12pt;z-index:251662336;mso-width-relative:page;mso-height-relative:page;" filled="f" stroked="t" coordsize="21600,21600" o:gfxdata="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ds6xX9cAAAAKAQAADwAAAAAAAAABACAAAAAiAAAAZHJzL2Rvd25y&#10;ZXYueG1sUEsBAhQAFAAAAAgAh07iQMTCDZT/AQAA+AMAAA4AAAAAAAAAAQAgAAAAJgEAAGRycy9l&#10;Mm9Eb2MueG1sUEsFBgAAAAAGAAYAWQEAAJcFAAAAAA==&#10;" adj="1800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color w:val="000000"/>
          <w:sz w:val="24"/>
        </w:rPr>
        <w:t>板书：             总述 甲天下</w:t>
      </w:r>
    </w:p>
    <w:p>
      <w:pPr>
        <w:tabs>
          <w:tab w:val="left" w:pos="1830"/>
        </w:tabs>
        <w:ind w:firstLine="705" w:firstLineChars="294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桂林山水  </w:t>
      </w:r>
      <w:r>
        <w:rPr>
          <w:rFonts w:ascii="宋体" w:hAnsi="宋体"/>
          <w:color w:val="000000"/>
          <w:sz w:val="24"/>
        </w:rPr>
        <w:tab/>
      </w:r>
    </w:p>
    <w:p>
      <w:pPr>
        <w:tabs>
          <w:tab w:val="left" w:pos="1830"/>
        </w:tabs>
        <w:ind w:firstLine="2229" w:firstLineChars="929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分述：水：静，清，绿。山：奇，秀，险。</w:t>
      </w:r>
    </w:p>
    <w:p>
      <w:pPr>
        <w:tabs>
          <w:tab w:val="left" w:pos="2250"/>
        </w:tabs>
        <w:ind w:left="420" w:leftChars="200" w:firstLine="597" w:firstLineChars="249"/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ab/>
      </w:r>
    </w:p>
    <w:p>
      <w:pPr>
        <w:tabs>
          <w:tab w:val="left" w:pos="2250"/>
        </w:tabs>
        <w:ind w:left="420" w:leftChars="200" w:firstLine="1764" w:firstLineChars="735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总结：舟行碧波上，人在画中游。</w:t>
      </w:r>
    </w:p>
    <w:p>
      <w:pPr>
        <w:ind w:firstLine="2496" w:firstLineChars="1040"/>
        <w:rPr>
          <w:rFonts w:hint="eastAsia" w:ascii="宋体" w:hAnsi="宋体"/>
          <w:color w:val="000000"/>
          <w:sz w:val="24"/>
        </w:rPr>
      </w:pP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b/>
        <w:bCs/>
      </w:rPr>
    </w:pPr>
    <w:r>
      <w:rPr>
        <w:sz w:val="18"/>
      </w:rPr>
      <w:drawing>
        <wp:inline distT="0" distB="0" distL="114300" distR="114300">
          <wp:extent cx="1095375" cy="391795"/>
          <wp:effectExtent l="0" t="0" r="0" b="0"/>
          <wp:docPr id="2" name="图片 2" descr="透明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透明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95375" cy="391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pict>
        <v:shape id="PowerPlusWaterMarkObject17387" o:spid="_x0000_s2051" o:spt="136" type="#_x0000_t136" style="position:absolute;left:0pt;height:137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华图教师" style="font-family:微软雅黑;font-size:36pt;v-same-letter-heights:f;v-text-align:center;"/>
        </v:shape>
      </w:pict>
    </w:r>
    <w:r>
      <w:rPr>
        <w:rFonts w:hint="eastAsia"/>
        <w:sz w:val="18"/>
        <w:lang w:val="en-US" w:eastAsia="zh-CN"/>
      </w:rPr>
      <w:t xml:space="preserve">                                                  </w:t>
    </w:r>
    <w:r>
      <w:rPr>
        <w:rFonts w:hint="eastAsia"/>
        <w:sz w:val="24"/>
        <w:szCs w:val="24"/>
        <w:lang w:val="en-US" w:eastAsia="zh-CN"/>
      </w:rPr>
      <w:t xml:space="preserve"> </w:t>
    </w:r>
    <w:r>
      <w:rPr>
        <w:rFonts w:hint="eastAsia"/>
        <w:b/>
        <w:bCs/>
        <w:sz w:val="24"/>
        <w:szCs w:val="24"/>
        <w:lang w:val="en-US" w:eastAsia="zh-CN"/>
      </w:rPr>
      <w:t>华图教师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6E79B1"/>
    <w:rsid w:val="4494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梦醒听风</cp:lastModifiedBy>
  <dcterms:modified xsi:type="dcterms:W3CDTF">2018-04-19T02:20:07Z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